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u w:val="single"/>
          <w:lang w:val="en-US" w:eastAsia="zh-CN"/>
        </w:rPr>
        <w:t>杂色镇机关</w:t>
      </w:r>
      <w:r>
        <w:rPr>
          <w:rFonts w:hint="eastAsia" w:ascii="方正小标宋简体" w:hAnsi="仿宋" w:eastAsia="方正小标宋简体"/>
          <w:sz w:val="44"/>
          <w:szCs w:val="44"/>
        </w:rPr>
        <w:t>部门（单位）部门预算</w:t>
      </w:r>
    </w:p>
    <w:p>
      <w:pPr>
        <w:spacing w:line="588" w:lineRule="exact"/>
        <w:ind w:firstLine="640" w:firstLineChars="200"/>
        <w:jc w:val="center"/>
        <w:rPr>
          <w:rFonts w:ascii="方正小标宋简体" w:hAnsi="仿宋" w:eastAsia="方正小标宋简体"/>
          <w:sz w:val="32"/>
          <w:szCs w:val="44"/>
        </w:rPr>
      </w:pPr>
      <w:r>
        <w:rPr>
          <w:rFonts w:hint="eastAsia" w:ascii="方正小标宋简体" w:hAnsi="仿宋" w:eastAsia="方正小标宋简体"/>
          <w:sz w:val="32"/>
          <w:szCs w:val="44"/>
          <w:highlight w:val="yellow"/>
        </w:rPr>
        <w:t>（部门预算公开模板）</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（注：</w:t>
      </w:r>
      <w:r>
        <w:rPr>
          <w:rFonts w:ascii="仿宋" w:hAnsi="仿宋" w:eastAsia="仿宋"/>
          <w:sz w:val="32"/>
          <w:szCs w:val="32"/>
          <w:highlight w:val="yellow"/>
        </w:rPr>
        <w:t>涉密</w:t>
      </w:r>
      <w:r>
        <w:rPr>
          <w:rFonts w:hint="eastAsia" w:ascii="仿宋" w:hAnsi="仿宋" w:eastAsia="仿宋"/>
          <w:sz w:val="32"/>
          <w:szCs w:val="32"/>
          <w:highlight w:val="yellow"/>
        </w:rPr>
        <w:t>单位按规定不予公开；</w:t>
      </w:r>
      <w:r>
        <w:rPr>
          <w:rFonts w:ascii="仿宋" w:hAnsi="仿宋" w:eastAsia="仿宋"/>
          <w:sz w:val="32"/>
          <w:szCs w:val="32"/>
          <w:highlight w:val="yellow"/>
        </w:rPr>
        <w:t>涉密敏感信息不予公开</w:t>
      </w:r>
      <w:r>
        <w:rPr>
          <w:rFonts w:hint="eastAsia" w:ascii="仿宋" w:hAnsi="仿宋" w:eastAsia="仿宋"/>
          <w:sz w:val="32"/>
          <w:szCs w:val="32"/>
          <w:highlight w:val="yellow"/>
        </w:rPr>
        <w:t>；</w:t>
      </w:r>
      <w:r>
        <w:rPr>
          <w:rFonts w:ascii="仿宋" w:hAnsi="仿宋" w:eastAsia="仿宋"/>
          <w:sz w:val="32"/>
          <w:szCs w:val="32"/>
          <w:highlight w:val="yellow"/>
        </w:rPr>
        <w:t>标黄</w:t>
      </w:r>
      <w:r>
        <w:rPr>
          <w:rFonts w:hint="eastAsia" w:ascii="仿宋" w:hAnsi="仿宋" w:eastAsia="仿宋"/>
          <w:sz w:val="32"/>
          <w:szCs w:val="32"/>
          <w:highlight w:val="yellow"/>
        </w:rPr>
        <w:t>表述</w:t>
      </w:r>
      <w:r>
        <w:rPr>
          <w:rFonts w:ascii="仿宋" w:hAnsi="仿宋" w:eastAsia="仿宋"/>
          <w:sz w:val="32"/>
          <w:szCs w:val="32"/>
          <w:highlight w:val="yellow"/>
        </w:rPr>
        <w:t>公开时删除</w:t>
      </w:r>
      <w:r>
        <w:rPr>
          <w:rFonts w:hint="eastAsia" w:ascii="仿宋" w:hAnsi="仿宋" w:eastAsia="仿宋"/>
          <w:sz w:val="32"/>
          <w:szCs w:val="32"/>
          <w:highlight w:val="yellow"/>
        </w:rPr>
        <w:t>；部门的</w:t>
      </w:r>
      <w:r>
        <w:rPr>
          <w:rFonts w:ascii="仿宋" w:hAnsi="仿宋" w:eastAsia="仿宋"/>
          <w:sz w:val="32"/>
          <w:szCs w:val="32"/>
          <w:highlight w:val="yellow"/>
        </w:rPr>
        <w:t>预算需要</w:t>
      </w:r>
      <w:r>
        <w:rPr>
          <w:rFonts w:hint="eastAsia" w:ascii="仿宋" w:hAnsi="仿宋" w:eastAsia="仿宋"/>
          <w:sz w:val="32"/>
          <w:szCs w:val="32"/>
          <w:highlight w:val="yellow"/>
        </w:rPr>
        <w:t>整体</w:t>
      </w:r>
      <w:r>
        <w:rPr>
          <w:rFonts w:ascii="仿宋" w:hAnsi="仿宋" w:eastAsia="仿宋"/>
          <w:sz w:val="32"/>
          <w:szCs w:val="32"/>
          <w:highlight w:val="yellow"/>
        </w:rPr>
        <w:t>公开，如有二三级单位，则部门机关的本级预算需要单独公开、二三级单位</w:t>
      </w:r>
      <w:r>
        <w:rPr>
          <w:rFonts w:hint="eastAsia" w:ascii="仿宋" w:hAnsi="仿宋" w:eastAsia="仿宋"/>
          <w:sz w:val="32"/>
          <w:szCs w:val="32"/>
          <w:highlight w:val="yellow"/>
        </w:rPr>
        <w:t>预算</w:t>
      </w:r>
      <w:r>
        <w:rPr>
          <w:rFonts w:ascii="仿宋" w:hAnsi="仿宋" w:eastAsia="仿宋"/>
          <w:sz w:val="32"/>
          <w:szCs w:val="32"/>
          <w:highlight w:val="yellow"/>
        </w:rPr>
        <w:t>也需要单独公开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XX部门（单位）概况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杂色镇机关</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宣传和执行党的路线、方针、政策，贯彻执行党中央、上级组织的决议。坚持“一个中心，两个基本点”，领导和制定本地经济和社会发展规划，并组织协调督促各部门的实施，加强对行政和经济组织的领导，引导辖区内群众走勤劳致富、奔小康道路，促进两个文明建设。</w:t>
      </w:r>
    </w:p>
    <w:p>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组织党员认真学习马列主义、毛泽东思想、邓小平理论和“三个代表”的重要思想，学习党的基本知识和党的路线、方针、政策；做好思想整治工作，抓好党的自身建设，增强党组织的凝聚力、吸引力和战斗力，充分发挥党员的先锋模范作用，深入贯彻落实科学发展观，创先争优，团结、组织当内外的干部群众，努力完成所担负的任务。</w:t>
      </w:r>
    </w:p>
    <w:p>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3.按照中央提出的农牧区基层组织建设“五个好”的目标要求，加强对党的农牧区基层组织的思想建设和组织建设，以及青年、妇女、民兵等组织建设。</w:t>
      </w:r>
    </w:p>
    <w:p>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4.加强对党员进行教育和管理，监督党员履行义务，保障党员的权利不受侵犯；认真抓好党风和搞好廉政建设；教育和监督党员干部和其他工作人员严格遵守国法政纪，增强反腐蚀能力。</w:t>
      </w:r>
    </w:p>
    <w:p>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5.执行本级人民代表大会的决议，执行县以上各级政府的决定和命令，执行辖区的经济、教育、科学、文化、卫生、财政、民政等行政工作。</w:t>
      </w:r>
    </w:p>
    <w:p>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6.组织、协调有关单位做好辖区内的土地、山林、水利、民事纠纷的调节工作。</w:t>
      </w:r>
    </w:p>
    <w:p>
      <w:pPr>
        <w:ind w:firstLine="640" w:firstLineChars="200"/>
        <w:rPr>
          <w:rFonts w:ascii="仿宋" w:hAnsi="仿宋" w:eastAsia="仿宋"/>
          <w:sz w:val="32"/>
          <w:szCs w:val="32"/>
        </w:rPr>
      </w:pPr>
      <w:r>
        <w:rPr>
          <w:rFonts w:hint="eastAsia" w:ascii="仿宋" w:hAnsi="仿宋" w:eastAsia="仿宋"/>
          <w:color w:val="auto"/>
          <w:sz w:val="32"/>
          <w:szCs w:val="32"/>
          <w:lang w:val="en-US" w:eastAsia="zh-CN"/>
        </w:rPr>
        <w:t>7.办理县委、县政府交办的其他事项。</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numPr>
          <w:ilvl w:val="0"/>
          <w:numId w:val="0"/>
        </w:numPr>
        <w:spacing w:line="240" w:lineRule="auto"/>
        <w:ind w:firstLine="640" w:firstLineChars="200"/>
        <w:jc w:val="left"/>
        <w:rPr>
          <w:rFonts w:ascii="方正小标宋简体" w:hAnsi="仿宋" w:eastAsia="方正小标宋简体"/>
          <w:sz w:val="40"/>
          <w:szCs w:val="32"/>
        </w:rPr>
      </w:pPr>
      <w:r>
        <w:rPr>
          <w:rFonts w:hint="eastAsia" w:ascii="仿宋" w:hAnsi="仿宋" w:eastAsia="仿宋"/>
          <w:sz w:val="32"/>
          <w:szCs w:val="32"/>
          <w:lang w:val="en-US" w:eastAsia="zh-CN"/>
        </w:rPr>
        <w:t>单位无内设机构，本机关共编制人数49人，其中机关行政编制26名（正科级5名、副科级13名、科员7名）；事业编制23名（文化站12名、便民服务中心10名）；工人1名，下设党政办、党建办、经发办、民生办、平安法治办、便民服务中心、文化综合服务中心、农牧综合服务中心。</w:t>
      </w:r>
    </w:p>
    <w:p>
      <w:pPr>
        <w:spacing w:line="588" w:lineRule="exact"/>
        <w:jc w:val="both"/>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（1.部门整体</w:t>
      </w:r>
      <w:r>
        <w:rPr>
          <w:rFonts w:ascii="仿宋" w:hAnsi="仿宋" w:eastAsia="仿宋"/>
          <w:sz w:val="32"/>
          <w:szCs w:val="32"/>
          <w:highlight w:val="yellow"/>
        </w:rPr>
        <w:t>预算表应包括机关和所有二三级单位的汇总预算</w:t>
      </w:r>
      <w:r>
        <w:rPr>
          <w:rFonts w:hint="eastAsia" w:ascii="仿宋" w:hAnsi="仿宋" w:eastAsia="仿宋"/>
          <w:sz w:val="32"/>
          <w:szCs w:val="32"/>
          <w:highlight w:val="yellow"/>
        </w:rPr>
        <w:t>；2.部门</w:t>
      </w:r>
      <w:r>
        <w:rPr>
          <w:rFonts w:ascii="仿宋" w:hAnsi="仿宋" w:eastAsia="仿宋"/>
          <w:sz w:val="32"/>
          <w:szCs w:val="32"/>
          <w:highlight w:val="yellow"/>
        </w:rPr>
        <w:t>机关的预算</w:t>
      </w:r>
      <w:r>
        <w:rPr>
          <w:rFonts w:hint="eastAsia" w:ascii="仿宋" w:hAnsi="仿宋" w:eastAsia="仿宋"/>
          <w:sz w:val="32"/>
          <w:szCs w:val="32"/>
          <w:highlight w:val="yellow"/>
        </w:rPr>
        <w:t>应</w:t>
      </w:r>
      <w:r>
        <w:rPr>
          <w:rFonts w:ascii="仿宋" w:hAnsi="仿宋" w:eastAsia="仿宋"/>
          <w:sz w:val="32"/>
          <w:szCs w:val="32"/>
          <w:highlight w:val="yellow"/>
        </w:rPr>
        <w:t>单独公开；</w:t>
      </w:r>
      <w:r>
        <w:rPr>
          <w:rFonts w:hint="eastAsia" w:ascii="仿宋" w:hAnsi="仿宋" w:eastAsia="仿宋"/>
          <w:sz w:val="32"/>
          <w:szCs w:val="32"/>
          <w:highlight w:val="yellow"/>
        </w:rPr>
        <w:t>3.部门</w:t>
      </w:r>
      <w:r>
        <w:rPr>
          <w:rFonts w:ascii="仿宋" w:hAnsi="仿宋" w:eastAsia="仿宋"/>
          <w:sz w:val="32"/>
          <w:szCs w:val="32"/>
          <w:highlight w:val="yellow"/>
        </w:rPr>
        <w:t>所属二、三级单位的预算也应单独公开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hint="eastAsia"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4141.17</w:t>
      </w:r>
      <w:r>
        <w:rPr>
          <w:rFonts w:hint="eastAsia" w:ascii="仿宋" w:hAnsi="仿宋" w:eastAsia="仿宋"/>
          <w:sz w:val="32"/>
          <w:szCs w:val="32"/>
        </w:rPr>
        <w:t>万元，比上年</w:t>
      </w:r>
      <w:r>
        <w:rPr>
          <w:rFonts w:hint="eastAsia" w:ascii="仿宋" w:hAnsi="仿宋" w:eastAsia="仿宋"/>
          <w:sz w:val="32"/>
          <w:szCs w:val="32"/>
          <w:lang w:val="en-US" w:eastAsia="zh-CN"/>
        </w:rPr>
        <w:t>减少997.79</w:t>
      </w:r>
      <w:r>
        <w:rPr>
          <w:rFonts w:hint="eastAsia" w:ascii="仿宋" w:hAnsi="仿宋" w:eastAsia="仿宋"/>
          <w:sz w:val="32"/>
          <w:szCs w:val="32"/>
        </w:rPr>
        <w:t>万元，</w:t>
      </w:r>
      <w:r>
        <w:rPr>
          <w:rFonts w:hint="eastAsia" w:ascii="仿宋" w:hAnsi="仿宋" w:eastAsia="仿宋"/>
          <w:sz w:val="32"/>
          <w:szCs w:val="32"/>
          <w:lang w:val="en-US" w:eastAsia="zh-CN"/>
        </w:rPr>
        <w:t>下降24</w:t>
      </w:r>
      <w:r>
        <w:rPr>
          <w:rFonts w:hint="eastAsia" w:ascii="仿宋" w:hAnsi="仿宋" w:eastAsia="仿宋"/>
          <w:sz w:val="32"/>
          <w:szCs w:val="32"/>
        </w:rPr>
        <w:t>%，主要原因是：</w:t>
      </w:r>
      <w:r>
        <w:rPr>
          <w:rFonts w:hint="default" w:ascii="Times New Roman" w:hAnsi="Times New Roman" w:eastAsia="仿宋" w:cs="Times New Roman"/>
          <w:color w:val="000000" w:themeColor="text1"/>
          <w:sz w:val="32"/>
          <w:szCs w:val="32"/>
          <w14:textFill>
            <w14:solidFill>
              <w14:schemeClr w14:val="tx1"/>
            </w14:solidFill>
          </w14:textFill>
        </w:rPr>
        <w:t>卫生院和农牧</w:t>
      </w:r>
      <w:r>
        <w:rPr>
          <w:rFonts w:hint="eastAsia" w:eastAsia="仿宋" w:cs="Times New Roman"/>
          <w:color w:val="000000" w:themeColor="text1"/>
          <w:sz w:val="32"/>
          <w:szCs w:val="32"/>
          <w:lang w:eastAsia="zh-CN"/>
          <w14:textFill>
            <w14:solidFill>
              <w14:schemeClr w14:val="tx1"/>
            </w14:solidFill>
          </w14:textFill>
        </w:rPr>
        <w:t>、</w:t>
      </w:r>
      <w:r>
        <w:rPr>
          <w:rFonts w:hint="eastAsia" w:eastAsia="仿宋" w:cs="Times New Roman"/>
          <w:color w:val="000000" w:themeColor="text1"/>
          <w:sz w:val="32"/>
          <w:szCs w:val="32"/>
          <w:lang w:val="en-US" w:eastAsia="zh-CN"/>
          <w14:textFill>
            <w14:solidFill>
              <w14:schemeClr w14:val="tx1"/>
            </w14:solidFill>
          </w14:textFill>
        </w:rPr>
        <w:t>寺管会</w:t>
      </w:r>
      <w:r>
        <w:rPr>
          <w:rFonts w:hint="default" w:ascii="Times New Roman" w:hAnsi="Times New Roman" w:eastAsia="仿宋" w:cs="Times New Roman"/>
          <w:color w:val="000000" w:themeColor="text1"/>
          <w:sz w:val="32"/>
          <w:szCs w:val="32"/>
          <w14:textFill>
            <w14:solidFill>
              <w14:schemeClr w14:val="tx1"/>
            </w14:solidFill>
          </w14:textFill>
        </w:rPr>
        <w:t>单独预算</w:t>
      </w:r>
      <w:r>
        <w:rPr>
          <w:rFonts w:hint="eastAsia" w:ascii="仿宋" w:hAnsi="仿宋" w:eastAsia="仿宋"/>
          <w:sz w:val="32"/>
          <w:szCs w:val="32"/>
        </w:rPr>
        <w:t>；支出预算</w:t>
      </w:r>
      <w:r>
        <w:rPr>
          <w:rFonts w:hint="eastAsia" w:ascii="仿宋" w:hAnsi="仿宋" w:eastAsia="仿宋"/>
          <w:sz w:val="32"/>
          <w:szCs w:val="32"/>
          <w:lang w:val="en-US" w:eastAsia="zh-CN"/>
        </w:rPr>
        <w:t>4141.17</w:t>
      </w:r>
      <w:r>
        <w:rPr>
          <w:rFonts w:hint="eastAsia" w:ascii="仿宋" w:hAnsi="仿宋" w:eastAsia="仿宋"/>
          <w:sz w:val="32"/>
          <w:szCs w:val="32"/>
        </w:rPr>
        <w:t>万元，比上年</w:t>
      </w:r>
      <w:r>
        <w:rPr>
          <w:rFonts w:hint="eastAsia" w:ascii="仿宋" w:hAnsi="仿宋" w:eastAsia="仿宋"/>
          <w:sz w:val="32"/>
          <w:szCs w:val="32"/>
          <w:lang w:val="en-US" w:eastAsia="zh-CN"/>
        </w:rPr>
        <w:t>减少997.79</w:t>
      </w:r>
      <w:r>
        <w:rPr>
          <w:rFonts w:hint="eastAsia" w:ascii="仿宋" w:hAnsi="仿宋" w:eastAsia="仿宋"/>
          <w:sz w:val="32"/>
          <w:szCs w:val="32"/>
        </w:rPr>
        <w:t>万元，</w:t>
      </w:r>
      <w:r>
        <w:rPr>
          <w:rFonts w:hint="eastAsia" w:ascii="仿宋" w:hAnsi="仿宋" w:eastAsia="仿宋"/>
          <w:sz w:val="32"/>
          <w:szCs w:val="32"/>
          <w:lang w:val="en-US" w:eastAsia="zh-CN"/>
        </w:rPr>
        <w:t>下降24</w:t>
      </w:r>
      <w:r>
        <w:rPr>
          <w:rFonts w:hint="eastAsia" w:ascii="仿宋" w:hAnsi="仿宋" w:eastAsia="仿宋"/>
          <w:sz w:val="32"/>
          <w:szCs w:val="32"/>
        </w:rPr>
        <w:t>%，主要原因是：</w:t>
      </w:r>
      <w:r>
        <w:rPr>
          <w:rFonts w:hint="default" w:ascii="Times New Roman" w:hAnsi="Times New Roman" w:eastAsia="仿宋" w:cs="Times New Roman"/>
          <w:color w:val="000000" w:themeColor="text1"/>
          <w:sz w:val="32"/>
          <w:szCs w:val="32"/>
          <w14:textFill>
            <w14:solidFill>
              <w14:schemeClr w14:val="tx1"/>
            </w14:solidFill>
          </w14:textFill>
        </w:rPr>
        <w:t>卫生院和农牧</w:t>
      </w:r>
      <w:r>
        <w:rPr>
          <w:rFonts w:hint="eastAsia" w:eastAsia="仿宋" w:cs="Times New Roman"/>
          <w:color w:val="000000" w:themeColor="text1"/>
          <w:sz w:val="32"/>
          <w:szCs w:val="32"/>
          <w:lang w:eastAsia="zh-CN"/>
          <w14:textFill>
            <w14:solidFill>
              <w14:schemeClr w14:val="tx1"/>
            </w14:solidFill>
          </w14:textFill>
        </w:rPr>
        <w:t>、</w:t>
      </w:r>
      <w:r>
        <w:rPr>
          <w:rFonts w:hint="eastAsia" w:eastAsia="仿宋" w:cs="Times New Roman"/>
          <w:color w:val="000000" w:themeColor="text1"/>
          <w:sz w:val="32"/>
          <w:szCs w:val="32"/>
          <w:lang w:val="en-US" w:eastAsia="zh-CN"/>
          <w14:textFill>
            <w14:solidFill>
              <w14:schemeClr w14:val="tx1"/>
            </w14:solidFill>
          </w14:textFill>
        </w:rPr>
        <w:t>寺管会</w:t>
      </w:r>
      <w:r>
        <w:rPr>
          <w:rFonts w:hint="default" w:ascii="Times New Roman" w:hAnsi="Times New Roman" w:eastAsia="仿宋" w:cs="Times New Roman"/>
          <w:color w:val="000000" w:themeColor="text1"/>
          <w:sz w:val="32"/>
          <w:szCs w:val="32"/>
          <w14:textFill>
            <w14:solidFill>
              <w14:schemeClr w14:val="tx1"/>
            </w14:solidFill>
          </w14:textFill>
        </w:rPr>
        <w:t>单独预算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18</w:t>
      </w:r>
      <w:r>
        <w:rPr>
          <w:rFonts w:hint="eastAsia" w:ascii="仿宋" w:hAnsi="仿宋" w:eastAsia="仿宋"/>
          <w:sz w:val="32"/>
          <w:szCs w:val="32"/>
        </w:rPr>
        <w:t>万元，比上年减少</w:t>
      </w:r>
      <w:r>
        <w:rPr>
          <w:rFonts w:hint="eastAsia" w:ascii="仿宋" w:hAnsi="仿宋" w:eastAsia="仿宋"/>
          <w:sz w:val="32"/>
          <w:szCs w:val="32"/>
          <w:lang w:val="en-US" w:eastAsia="zh-CN"/>
        </w:rPr>
        <w:t>12</w:t>
      </w:r>
      <w:r>
        <w:rPr>
          <w:rFonts w:hint="eastAsia" w:ascii="仿宋" w:hAnsi="仿宋" w:eastAsia="仿宋"/>
          <w:sz w:val="32"/>
          <w:szCs w:val="32"/>
        </w:rPr>
        <w:t>万元，下降</w:t>
      </w:r>
      <w:r>
        <w:rPr>
          <w:rFonts w:hint="eastAsia" w:ascii="仿宋" w:hAnsi="仿宋" w:eastAsia="仿宋"/>
          <w:sz w:val="32"/>
          <w:szCs w:val="32"/>
          <w:lang w:val="en-US" w:eastAsia="zh-CN"/>
        </w:rPr>
        <w:t>67</w:t>
      </w:r>
      <w:r>
        <w:rPr>
          <w:rFonts w:hint="eastAsia" w:ascii="仿宋" w:hAnsi="仿宋" w:eastAsia="仿宋"/>
          <w:sz w:val="32"/>
          <w:szCs w:val="32"/>
        </w:rPr>
        <w:t>%，主要原因是：</w:t>
      </w:r>
      <w:r>
        <w:rPr>
          <w:rFonts w:hint="eastAsia" w:ascii="仿宋" w:hAnsi="仿宋" w:eastAsia="仿宋"/>
          <w:sz w:val="32"/>
          <w:szCs w:val="32"/>
          <w:lang w:val="en-US" w:eastAsia="zh-CN"/>
        </w:rPr>
        <w:t>农牧单独做预算</w:t>
      </w:r>
      <w:r>
        <w:rPr>
          <w:rFonts w:hint="eastAsia" w:ascii="仿宋" w:hAnsi="仿宋" w:eastAsia="仿宋"/>
          <w:sz w:val="32"/>
          <w:szCs w:val="32"/>
          <w:highlight w:val="yellow"/>
        </w:rPr>
        <w:t>（除涉密事项外，应细化说明因公出国（境）团组数及人数，公务用车购置数及保有量，国内公务接待的批次、人数）</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w:t>
      </w:r>
      <w:r>
        <w:rPr>
          <w:rFonts w:hint="eastAsia" w:ascii="仿宋" w:hAnsi="仿宋" w:eastAsia="仿宋"/>
          <w:sz w:val="32"/>
          <w:szCs w:val="32"/>
          <w:lang w:val="en-US" w:eastAsia="zh-CN"/>
        </w:rPr>
        <w:t>223.26</w:t>
      </w:r>
      <w:r>
        <w:rPr>
          <w:rFonts w:hint="eastAsia" w:ascii="仿宋" w:hAnsi="仿宋" w:eastAsia="仿宋"/>
          <w:sz w:val="32"/>
          <w:szCs w:val="32"/>
        </w:rPr>
        <w:t>万元，比上年减少</w:t>
      </w:r>
      <w:r>
        <w:rPr>
          <w:rFonts w:hint="eastAsia" w:ascii="仿宋" w:hAnsi="仿宋" w:eastAsia="仿宋"/>
          <w:sz w:val="32"/>
          <w:szCs w:val="32"/>
          <w:lang w:val="en-US" w:eastAsia="zh-CN"/>
        </w:rPr>
        <w:t>117.7</w:t>
      </w:r>
      <w:r>
        <w:rPr>
          <w:rFonts w:hint="eastAsia" w:ascii="仿宋" w:hAnsi="仿宋" w:eastAsia="仿宋"/>
          <w:sz w:val="32"/>
          <w:szCs w:val="32"/>
        </w:rPr>
        <w:t>万元，</w:t>
      </w:r>
      <w:bookmarkStart w:id="0" w:name="_GoBack"/>
      <w:bookmarkEnd w:id="0"/>
      <w:r>
        <w:rPr>
          <w:rFonts w:hint="eastAsia" w:ascii="仿宋" w:hAnsi="仿宋" w:eastAsia="仿宋"/>
          <w:sz w:val="32"/>
          <w:szCs w:val="32"/>
        </w:rPr>
        <w:t>下降</w:t>
      </w:r>
      <w:r>
        <w:rPr>
          <w:rFonts w:hint="eastAsia" w:ascii="仿宋" w:hAnsi="仿宋" w:eastAsia="仿宋"/>
          <w:sz w:val="32"/>
          <w:szCs w:val="32"/>
          <w:lang w:val="en-US" w:eastAsia="zh-CN"/>
        </w:rPr>
        <w:t>53</w:t>
      </w:r>
      <w:r>
        <w:rPr>
          <w:rFonts w:hint="eastAsia" w:ascii="仿宋" w:hAnsi="仿宋" w:eastAsia="仿宋"/>
          <w:sz w:val="32"/>
          <w:szCs w:val="32"/>
        </w:rPr>
        <w:t>%，主要原因是：</w:t>
      </w:r>
      <w:r>
        <w:rPr>
          <w:rFonts w:hint="default" w:ascii="Times New Roman" w:hAnsi="Times New Roman" w:eastAsia="仿宋" w:cs="Times New Roman"/>
          <w:color w:val="000000" w:themeColor="text1"/>
          <w:sz w:val="32"/>
          <w:szCs w:val="32"/>
          <w14:textFill>
            <w14:solidFill>
              <w14:schemeClr w14:val="tx1"/>
            </w14:solidFill>
          </w14:textFill>
        </w:rPr>
        <w:t>卫生院和农牧</w:t>
      </w:r>
      <w:r>
        <w:rPr>
          <w:rFonts w:hint="eastAsia" w:eastAsia="仿宋" w:cs="Times New Roman"/>
          <w:color w:val="000000" w:themeColor="text1"/>
          <w:sz w:val="32"/>
          <w:szCs w:val="32"/>
          <w:lang w:eastAsia="zh-CN"/>
          <w14:textFill>
            <w14:solidFill>
              <w14:schemeClr w14:val="tx1"/>
            </w14:solidFill>
          </w14:textFill>
        </w:rPr>
        <w:t>、</w:t>
      </w:r>
      <w:r>
        <w:rPr>
          <w:rFonts w:hint="eastAsia" w:eastAsia="仿宋" w:cs="Times New Roman"/>
          <w:color w:val="000000" w:themeColor="text1"/>
          <w:sz w:val="32"/>
          <w:szCs w:val="32"/>
          <w:lang w:val="en-US" w:eastAsia="zh-CN"/>
          <w14:textFill>
            <w14:solidFill>
              <w14:schemeClr w14:val="tx1"/>
            </w14:solidFill>
          </w14:textFill>
        </w:rPr>
        <w:t>寺管会</w:t>
      </w:r>
      <w:r>
        <w:rPr>
          <w:rFonts w:hint="default" w:ascii="Times New Roman" w:hAnsi="Times New Roman" w:eastAsia="仿宋" w:cs="Times New Roman"/>
          <w:color w:val="000000" w:themeColor="text1"/>
          <w:sz w:val="32"/>
          <w:szCs w:val="32"/>
          <w14:textFill>
            <w14:solidFill>
              <w14:schemeClr w14:val="tx1"/>
            </w14:solidFill>
          </w14:textFill>
        </w:rPr>
        <w:t>单独预算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w:t>
      </w:r>
      <w:r>
        <w:rPr>
          <w:rFonts w:hint="eastAsia" w:ascii="仿宋" w:hAnsi="仿宋" w:eastAsia="仿宋"/>
          <w:sz w:val="32"/>
          <w:szCs w:val="32"/>
          <w:lang w:val="en-US" w:eastAsia="zh-CN"/>
        </w:rPr>
        <w:t>7</w:t>
      </w:r>
      <w:r>
        <w:rPr>
          <w:rFonts w:hint="eastAsia" w:ascii="仿宋" w:hAnsi="仿宋" w:eastAsia="仿宋"/>
          <w:sz w:val="32"/>
          <w:szCs w:val="32"/>
        </w:rPr>
        <w:t>日，本部门固定资产构成情况为：房屋……平方米，车辆</w:t>
      </w:r>
      <w:r>
        <w:rPr>
          <w:rFonts w:hint="eastAsia" w:ascii="仿宋" w:hAnsi="仿宋" w:eastAsia="仿宋"/>
          <w:sz w:val="32"/>
          <w:szCs w:val="32"/>
          <w:lang w:val="en-US" w:eastAsia="zh-CN"/>
        </w:rPr>
        <w:t>3</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w:t>
      </w:r>
      <w:r>
        <w:rPr>
          <w:rFonts w:hint="eastAsia" w:ascii="仿宋" w:hAnsi="仿宋" w:eastAsia="仿宋"/>
          <w:sz w:val="32"/>
          <w:szCs w:val="32"/>
          <w:lang w:val="en-US" w:eastAsia="zh-CN"/>
        </w:rPr>
        <w:t xml:space="preserve">       </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lang w:val="en-US" w:eastAsia="zh-CN"/>
        </w:rPr>
        <w:t>30</w:t>
      </w:r>
      <w:r>
        <w:rPr>
          <w:rFonts w:hint="eastAsia" w:ascii="仿宋" w:hAnsi="仿宋" w:eastAsia="仿宋"/>
          <w:sz w:val="32"/>
          <w:szCs w:val="32"/>
        </w:rPr>
        <w:t>个，资金</w:t>
      </w:r>
      <w:r>
        <w:rPr>
          <w:rFonts w:hint="eastAsia" w:ascii="仿宋" w:hAnsi="仿宋" w:eastAsia="仿宋"/>
          <w:sz w:val="32"/>
          <w:szCs w:val="32"/>
          <w:lang w:val="en-US" w:eastAsia="zh-CN"/>
        </w:rPr>
        <w:t>1504.79</w:t>
      </w:r>
      <w:r>
        <w:rPr>
          <w:rFonts w:hint="eastAsia" w:ascii="仿宋" w:hAnsi="仿宋" w:eastAsia="仿宋"/>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02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302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农村公路日常养护</w:t>
            </w:r>
          </w:p>
        </w:tc>
        <w:tc>
          <w:tcPr>
            <w:tcW w:w="3021" w:type="dxa"/>
            <w:vAlign w:val="center"/>
          </w:tcPr>
          <w:p>
            <w:pPr>
              <w:spacing w:line="588" w:lineRule="exact"/>
              <w:ind w:firstLine="560" w:firstLineChars="200"/>
              <w:jc w:val="left"/>
              <w:rPr>
                <w:rFonts w:hint="eastAsia" w:ascii="仿宋" w:hAnsi="仿宋" w:eastAsia="仿宋"/>
                <w:sz w:val="28"/>
                <w:szCs w:val="28"/>
                <w:lang w:val="en-US" w:eastAsia="zh-CN"/>
              </w:rPr>
            </w:pPr>
            <w:r>
              <w:rPr>
                <w:rFonts w:hint="eastAsia" w:ascii="仿宋" w:hAnsi="仿宋" w:eastAsia="仿宋"/>
                <w:sz w:val="28"/>
                <w:szCs w:val="28"/>
                <w:lang w:val="en-US" w:eastAsia="zh-CN"/>
              </w:rPr>
              <w:t>0.09</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基本公共卫生服务补助</w:t>
            </w:r>
          </w:p>
        </w:tc>
        <w:tc>
          <w:tcPr>
            <w:tcW w:w="3021" w:type="dxa"/>
            <w:vAlign w:val="center"/>
          </w:tcPr>
          <w:p>
            <w:pPr>
              <w:spacing w:line="588" w:lineRule="exact"/>
              <w:ind w:firstLine="560" w:firstLineChars="200"/>
              <w:jc w:val="left"/>
              <w:rPr>
                <w:rFonts w:hint="eastAsia" w:ascii="仿宋" w:hAnsi="仿宋" w:eastAsia="仿宋"/>
                <w:sz w:val="28"/>
                <w:szCs w:val="28"/>
                <w:lang w:val="en-US" w:eastAsia="zh-CN"/>
              </w:rPr>
            </w:pPr>
            <w:r>
              <w:rPr>
                <w:rFonts w:hint="eastAsia" w:ascii="仿宋" w:hAnsi="仿宋" w:eastAsia="仿宋"/>
                <w:sz w:val="28"/>
                <w:szCs w:val="28"/>
                <w:lang w:val="en-US" w:eastAsia="zh-CN"/>
              </w:rPr>
              <w:t>0.05</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市政运行维护经费</w:t>
            </w:r>
          </w:p>
        </w:tc>
        <w:tc>
          <w:tcPr>
            <w:tcW w:w="3021" w:type="dxa"/>
            <w:vAlign w:val="center"/>
          </w:tcPr>
          <w:p>
            <w:pPr>
              <w:spacing w:line="588" w:lineRule="exact"/>
              <w:ind w:firstLine="560" w:firstLineChars="200"/>
              <w:jc w:val="left"/>
              <w:rPr>
                <w:rFonts w:hint="eastAsia" w:ascii="仿宋" w:hAnsi="仿宋" w:eastAsia="仿宋"/>
                <w:sz w:val="28"/>
                <w:szCs w:val="28"/>
                <w:lang w:val="en-US" w:eastAsia="zh-CN"/>
              </w:rPr>
            </w:pPr>
            <w:r>
              <w:rPr>
                <w:rFonts w:hint="eastAsia" w:ascii="仿宋" w:hAnsi="仿宋" w:eastAsia="仿宋"/>
                <w:sz w:val="28"/>
                <w:szCs w:val="28"/>
                <w:lang w:val="en-US" w:eastAsia="zh-CN"/>
              </w:rPr>
              <w:t>9.06</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征地拆迁补偿</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4.3</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住院分娩奖励待产生活补助经费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8.27</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人大代表履职补贴</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20</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村级动物防疫员补贴</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71.28</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村医生活补助</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71.28</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村级生态环卫管护员补助</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97.2</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强基惠民驻村经费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216.14</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行政村文艺演出队经费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140.32</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村级党建经费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216</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村卫生室经费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27</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戏曲进乡村经费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0.5</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饲草产业发展项目</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0.03</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草原征占植被恢复费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6.56</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驻村队员个人装备费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7.1</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驻村队员体检费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7.1</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驻村为民办实事经费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334.8</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驻村工作队交通费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135</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驻村工作队取暖费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16.2</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村级文化活动场所巩固提升项目</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8.54</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社区干部报酬待遇</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38.37</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文化馆（站）免费开放经费</w:t>
            </w:r>
          </w:p>
        </w:tc>
        <w:tc>
          <w:tcPr>
            <w:tcW w:w="3021" w:type="dxa"/>
          </w:tcPr>
          <w:p>
            <w:pPr>
              <w:spacing w:line="588" w:lineRule="exact"/>
              <w:ind w:firstLine="560" w:firstLineChars="200"/>
              <w:jc w:val="left"/>
              <w:rPr>
                <w:rFonts w:hint="eastAsia" w:ascii="仿宋" w:hAnsi="仿宋" w:eastAsia="仿宋"/>
                <w:sz w:val="28"/>
                <w:szCs w:val="28"/>
                <w:lang w:val="en-US" w:eastAsia="zh-CN"/>
              </w:rPr>
            </w:pPr>
            <w:r>
              <w:rPr>
                <w:rFonts w:hint="eastAsia" w:ascii="仿宋" w:hAnsi="仿宋" w:eastAsia="仿宋"/>
                <w:sz w:val="28"/>
                <w:szCs w:val="28"/>
                <w:lang w:val="en-US" w:eastAsia="zh-CN"/>
              </w:rPr>
              <w:t>5</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乡村环境整治经费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22.08</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jc w:val="left"/>
              <w:rPr>
                <w:rFonts w:hint="eastAsia" w:ascii="仿宋" w:hAnsi="仿宋" w:eastAsia="仿宋"/>
                <w:sz w:val="28"/>
                <w:szCs w:val="28"/>
                <w:lang w:val="en-US" w:eastAsia="zh-CN"/>
              </w:rPr>
            </w:pPr>
            <w:r>
              <w:rPr>
                <w:rFonts w:hint="eastAsia" w:ascii="仿宋" w:hAnsi="仿宋" w:eastAsia="仿宋"/>
                <w:sz w:val="28"/>
                <w:szCs w:val="28"/>
                <w:lang w:val="en-US" w:eastAsia="zh-CN"/>
              </w:rPr>
              <w:t>基层乡镇政协委员联络室经费</w:t>
            </w:r>
          </w:p>
        </w:tc>
        <w:tc>
          <w:tcPr>
            <w:tcW w:w="3021" w:type="dxa"/>
          </w:tcPr>
          <w:p>
            <w:pPr>
              <w:spacing w:line="588" w:lineRule="exact"/>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lang w:val="en-US" w:eastAsia="zh-CN"/>
              </w:rPr>
              <w:t>0.5</w:t>
            </w:r>
          </w:p>
        </w:tc>
        <w:tc>
          <w:tcPr>
            <w:tcW w:w="2841" w:type="dxa"/>
          </w:tcPr>
          <w:p>
            <w:pPr>
              <w:spacing w:line="588" w:lineRule="exact"/>
              <w:ind w:firstLine="560" w:firstLineChars="200"/>
              <w:rPr>
                <w:rFonts w:ascii="仿宋" w:hAnsi="仿宋" w:eastAsia="仿宋"/>
                <w:sz w:val="28"/>
                <w:szCs w:val="28"/>
              </w:rPr>
            </w:pPr>
            <w:r>
              <w:rPr>
                <w:rFonts w:hint="default" w:ascii="Times New Roman" w:hAnsi="Times New Roman" w:eastAsia="仿宋" w:cs="Times New Roman"/>
                <w:color w:val="000000" w:themeColor="text1"/>
                <w:sz w:val="28"/>
                <w:szCs w:val="28"/>
                <w14:textFill>
                  <w14:solidFill>
                    <w14:schemeClr w14:val="tx1"/>
                  </w14:solidFill>
                </w14:textFill>
              </w:rPr>
              <w:t>按期完成指标</w:t>
            </w: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例如：政府</w:t>
      </w:r>
      <w:r>
        <w:rPr>
          <w:rFonts w:hint="eastAsia" w:ascii="仿宋" w:hAnsi="仿宋" w:eastAsia="仿宋"/>
          <w:sz w:val="32"/>
          <w:szCs w:val="32"/>
          <w:lang w:val="en-US" w:eastAsia="zh-CN"/>
        </w:rPr>
        <w:t>无</w:t>
      </w:r>
      <w:r>
        <w:rPr>
          <w:rFonts w:hint="eastAsia" w:ascii="仿宋" w:hAnsi="仿宋" w:eastAsia="仿宋"/>
          <w:sz w:val="32"/>
          <w:szCs w:val="32"/>
        </w:rPr>
        <w:t>债务情况。</w:t>
      </w:r>
      <w:r>
        <w:rPr>
          <w:rFonts w:hint="eastAsia" w:ascii="仿宋" w:hAnsi="仿宋" w:eastAsia="仿宋"/>
          <w:sz w:val="32"/>
          <w:szCs w:val="32"/>
          <w:highlight w:val="yellow"/>
        </w:rPr>
        <w:t>（本部门及所属单位使用和管理政府债券资金情况，包括相关政府债券资金总体规模、项目安排。）</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- 7 -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15FD0"/>
    <w:rsid w:val="079B0C31"/>
    <w:rsid w:val="092657CD"/>
    <w:rsid w:val="1444008F"/>
    <w:rsid w:val="1E8E2DB0"/>
    <w:rsid w:val="202A46ED"/>
    <w:rsid w:val="22692AF3"/>
    <w:rsid w:val="2FA87236"/>
    <w:rsid w:val="33D472D8"/>
    <w:rsid w:val="360C20B8"/>
    <w:rsid w:val="37C12E68"/>
    <w:rsid w:val="388C5587"/>
    <w:rsid w:val="390702F7"/>
    <w:rsid w:val="3B72362F"/>
    <w:rsid w:val="42614071"/>
    <w:rsid w:val="451E179E"/>
    <w:rsid w:val="46A017ED"/>
    <w:rsid w:val="4E52050F"/>
    <w:rsid w:val="4F2F5A4B"/>
    <w:rsid w:val="56837875"/>
    <w:rsid w:val="56D20DFF"/>
    <w:rsid w:val="69311512"/>
    <w:rsid w:val="6AF31CF1"/>
    <w:rsid w:val="6E636558"/>
    <w:rsid w:val="70D00C13"/>
    <w:rsid w:val="73DA2A77"/>
    <w:rsid w:val="787758E4"/>
    <w:rsid w:val="7A396BFB"/>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7">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Administrator</cp:lastModifiedBy>
  <dcterms:modified xsi:type="dcterms:W3CDTF">2026-01-28T09:27:41Z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49BAD40DE56D407B89457DCFB84CD5A4</vt:lpwstr>
  </property>
</Properties>
</file>